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E1FD4" w14:textId="2A6FE8F5" w:rsidR="00A3789A" w:rsidRPr="00A079D3" w:rsidRDefault="00A3789A" w:rsidP="00A3789A">
      <w:pPr>
        <w:keepLines/>
        <w:tabs>
          <w:tab w:val="left" w:pos="567"/>
        </w:tabs>
        <w:snapToGrid w:val="0"/>
        <w:spacing w:after="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230126</w:t>
      </w:r>
    </w:p>
    <w:p w14:paraId="6A77E12E" w14:textId="77777777" w:rsidR="00A3789A" w:rsidRPr="00A079D3" w:rsidRDefault="00A3789A" w:rsidP="00A3789A">
      <w:pPr>
        <w:keepLines/>
        <w:tabs>
          <w:tab w:val="left" w:pos="567"/>
        </w:tabs>
        <w:rPr>
          <w:rFonts w:ascii="Arial" w:hAnsi="Arial" w:cs="Arial"/>
          <w:b/>
          <w:sz w:val="28"/>
          <w:szCs w:val="28"/>
        </w:rPr>
      </w:pPr>
      <w:r>
        <w:rPr>
          <w:rFonts w:ascii="Arial" w:hAnsi="Arial" w:cs="Arial"/>
          <w:b/>
          <w:sz w:val="28"/>
          <w:szCs w:val="28"/>
        </w:rPr>
        <w:t>Rotterdam, Netherlands, March 20-23, 2023</w:t>
      </w:r>
    </w:p>
    <w:bookmarkEnd w:id="0"/>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4462A06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7F0499">
        <w:rPr>
          <w:rFonts w:ascii="Arial" w:hAnsi="Arial"/>
          <w:sz w:val="24"/>
        </w:rPr>
        <w:t>9.</w:t>
      </w:r>
      <w:r w:rsidR="00A3789A">
        <w:rPr>
          <w:rFonts w:ascii="Arial" w:hAnsi="Arial"/>
          <w:sz w:val="24"/>
        </w:rPr>
        <w:t>3.2.7</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1FD7BF3E"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3789A">
        <w:rPr>
          <w:rFonts w:ascii="Arial" w:hAnsi="Arial"/>
          <w:sz w:val="24"/>
        </w:rPr>
        <w:t>Views of scope of NR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84B7D81" w14:textId="047190C7" w:rsidR="00A3789A" w:rsidRDefault="00A3789A" w:rsidP="00085CDB">
      <w:r>
        <w:t xml:space="preserve">In RAN#97e, there was a discussion on new scope for NR NTN. The following was </w:t>
      </w:r>
      <w:proofErr w:type="spellStart"/>
      <w:r>
        <w:t>minuted</w:t>
      </w:r>
      <w:proofErr w:type="spellEnd"/>
      <w:r>
        <w:t xml:space="preserve"> (highlighted added):</w:t>
      </w:r>
      <w:r>
        <w:rPr>
          <w:noProof/>
        </w:rPr>
        <mc:AlternateContent>
          <mc:Choice Requires="wps">
            <w:drawing>
              <wp:anchor distT="45720" distB="45720" distL="114300" distR="114300" simplePos="0" relativeHeight="251658240" behindDoc="0" locked="0" layoutInCell="1" allowOverlap="1" wp14:anchorId="3102415B" wp14:editId="3056184B">
                <wp:simplePos x="0" y="0"/>
                <wp:positionH relativeFrom="column">
                  <wp:posOffset>-52705</wp:posOffset>
                </wp:positionH>
                <wp:positionV relativeFrom="paragraph">
                  <wp:posOffset>439420</wp:posOffset>
                </wp:positionV>
                <wp:extent cx="6153785" cy="1404620"/>
                <wp:effectExtent l="0" t="0" r="18415" b="2667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785" cy="1404620"/>
                        </a:xfrm>
                        <a:prstGeom prst="rect">
                          <a:avLst/>
                        </a:prstGeom>
                        <a:solidFill>
                          <a:srgbClr val="FFFFFF"/>
                        </a:solidFill>
                        <a:ln w="9525">
                          <a:solidFill>
                            <a:srgbClr val="000000"/>
                          </a:solidFill>
                          <a:miter lim="800000"/>
                          <a:headEnd/>
                          <a:tailEnd/>
                        </a:ln>
                      </wps:spPr>
                      <wps:txbx>
                        <w:txbxContent>
                          <w:p w14:paraId="7AC0840B" w14:textId="77777777" w:rsidR="00A3789A" w:rsidRDefault="00A3789A" w:rsidP="00A3789A">
                            <w:pPr>
                              <w:rPr>
                                <w:rFonts w:ascii="Arial" w:hAnsi="Arial" w:cs="Arial"/>
                                <w:b/>
                                <w:sz w:val="24"/>
                              </w:rPr>
                            </w:pPr>
                            <w:r>
                              <w:rPr>
                                <w:rFonts w:ascii="Arial" w:hAnsi="Arial" w:cs="Arial"/>
                                <w:b/>
                                <w:color w:val="0000FF"/>
                                <w:sz w:val="24"/>
                              </w:rPr>
                              <w:t>RP-222653</w:t>
                            </w:r>
                            <w:r>
                              <w:rPr>
                                <w:rFonts w:ascii="Arial" w:hAnsi="Arial" w:cs="Arial"/>
                                <w:b/>
                                <w:color w:val="0000FF"/>
                                <w:sz w:val="24"/>
                              </w:rPr>
                              <w:tab/>
                            </w:r>
                            <w:r>
                              <w:rPr>
                                <w:rFonts w:ascii="Arial" w:hAnsi="Arial" w:cs="Arial"/>
                                <w:b/>
                                <w:sz w:val="24"/>
                              </w:rPr>
                              <w:t>Moderator's summary for discussion [97e-22-R18-NR-NTN]</w:t>
                            </w:r>
                          </w:p>
                          <w:p w14:paraId="46968D9C" w14:textId="77777777" w:rsidR="00A3789A" w:rsidRDefault="00A3789A" w:rsidP="00A3789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w:t>
                            </w:r>
                          </w:p>
                          <w:p w14:paraId="18C37E01" w14:textId="77777777" w:rsidR="00A3789A" w:rsidRDefault="00A3789A" w:rsidP="00A3789A">
                            <w:pPr>
                              <w:rPr>
                                <w:color w:val="808080"/>
                              </w:rPr>
                            </w:pPr>
                            <w:r>
                              <w:rPr>
                                <w:color w:val="808080"/>
                              </w:rPr>
                              <w:t>(Replaces RP-222582)</w:t>
                            </w:r>
                          </w:p>
                          <w:p w14:paraId="1EC5A829" w14:textId="77777777" w:rsidR="00A3789A" w:rsidRDefault="00A3789A" w:rsidP="00A3789A">
                            <w:pPr>
                              <w:rPr>
                                <w:rFonts w:ascii="Arial" w:hAnsi="Arial" w:cs="Arial"/>
                                <w:b/>
                              </w:rPr>
                            </w:pPr>
                            <w:r>
                              <w:rPr>
                                <w:rFonts w:ascii="Arial" w:hAnsi="Arial" w:cs="Arial"/>
                                <w:b/>
                              </w:rPr>
                              <w:t xml:space="preserve">Abstract: </w:t>
                            </w:r>
                          </w:p>
                          <w:p w14:paraId="1FD0DE6D" w14:textId="77777777" w:rsidR="00A3789A" w:rsidRDefault="00A3789A" w:rsidP="00A3789A">
                            <w:r>
                              <w:t xml:space="preserve">handled </w:t>
                            </w:r>
                            <w:proofErr w:type="spellStart"/>
                            <w:r>
                              <w:t>Tdocs</w:t>
                            </w:r>
                            <w:proofErr w:type="spellEnd"/>
                            <w:r>
                              <w:t>: RP-222081, 2096, 2151, 2206, 2234, 2254, 2301, 2305, 2316, 2319, 2342, 2439, 2485</w:t>
                            </w:r>
                          </w:p>
                          <w:p w14:paraId="2AF1B18C" w14:textId="77777777" w:rsidR="00A3789A" w:rsidRDefault="00A3789A" w:rsidP="00A3789A">
                            <w:pPr>
                              <w:rPr>
                                <w:rFonts w:ascii="Arial" w:hAnsi="Arial" w:cs="Arial"/>
                                <w:b/>
                              </w:rPr>
                            </w:pPr>
                            <w:r>
                              <w:rPr>
                                <w:rFonts w:ascii="Arial" w:hAnsi="Arial" w:cs="Arial"/>
                                <w:b/>
                              </w:rPr>
                              <w:t xml:space="preserve">Discussion: </w:t>
                            </w:r>
                          </w:p>
                          <w:p w14:paraId="1535194F" w14:textId="77777777" w:rsidR="00A3789A" w:rsidRDefault="00A3789A" w:rsidP="00A3789A">
                            <w:r>
                              <w:t>Note: Proposal 4.1 has been captured in the revised WID RP-222654.</w:t>
                            </w:r>
                          </w:p>
                          <w:p w14:paraId="3118B02F" w14:textId="77777777" w:rsidR="00A3789A" w:rsidRDefault="00A3789A" w:rsidP="00A3789A">
                            <w:r>
                              <w:t>conclusion:</w:t>
                            </w:r>
                          </w:p>
                          <w:p w14:paraId="1B2BD5AA" w14:textId="77777777" w:rsidR="00A3789A" w:rsidRDefault="00A3789A" w:rsidP="00A3789A">
                            <w:r>
                              <w:t>- proposal 4.1 was endorsed</w:t>
                            </w:r>
                          </w:p>
                          <w:p w14:paraId="7BB0A562" w14:textId="77777777" w:rsidR="00A3789A" w:rsidRPr="00A3789A" w:rsidRDefault="00A3789A" w:rsidP="00A3789A">
                            <w:pPr>
                              <w:rPr>
                                <w:highlight w:val="yellow"/>
                              </w:rPr>
                            </w:pPr>
                            <w:r w:rsidRPr="00A3789A">
                              <w:rPr>
                                <w:highlight w:val="yellow"/>
                              </w:rPr>
                              <w:t>- proposal 4.2: To be discussed at RAN#99,</w:t>
                            </w:r>
                          </w:p>
                          <w:p w14:paraId="42C59D82" w14:textId="77777777" w:rsidR="00A3789A" w:rsidRPr="00A3789A" w:rsidRDefault="00A3789A" w:rsidP="00A3789A">
                            <w:pPr>
                              <w:rPr>
                                <w:highlight w:val="yellow"/>
                              </w:rPr>
                            </w:pPr>
                            <w:r w:rsidRPr="00A3789A">
                              <w:rPr>
                                <w:highlight w:val="yellow"/>
                              </w:rPr>
                              <w:t>- whether the Rel-18 PRACH enhancements (defined as part of Rel-18 NR coverage enhancements WI) are sufficient to address the coverage gaps with respect to NTN specifics (</w:t>
                            </w:r>
                            <w:proofErr w:type="gramStart"/>
                            <w:r w:rsidRPr="00A3789A">
                              <w:rPr>
                                <w:highlight w:val="yellow"/>
                              </w:rPr>
                              <w:t>i.e.</w:t>
                            </w:r>
                            <w:proofErr w:type="gramEnd"/>
                            <w:r w:rsidRPr="00A3789A">
                              <w:rPr>
                                <w:highlight w:val="yellow"/>
                              </w:rPr>
                              <w:t xml:space="preserve"> agreed at RAN1#109-e/RAN1#110, under </w:t>
                            </w:r>
                            <w:proofErr w:type="spellStart"/>
                            <w:r w:rsidRPr="00A3789A">
                              <w:rPr>
                                <w:highlight w:val="yellow"/>
                              </w:rPr>
                              <w:t>NR_NTN_enh</w:t>
                            </w:r>
                            <w:proofErr w:type="spellEnd"/>
                            <w:r w:rsidRPr="00A3789A">
                              <w:rPr>
                                <w:highlight w:val="yellow"/>
                              </w:rPr>
                              <w:t xml:space="preserve"> WI) and whether additional PRACH enhancements need to be specified;</w:t>
                            </w:r>
                          </w:p>
                          <w:p w14:paraId="32385646" w14:textId="77777777" w:rsidR="00A3789A" w:rsidRPr="00A3789A" w:rsidRDefault="00A3789A" w:rsidP="00A3789A">
                            <w:pPr>
                              <w:rPr>
                                <w:highlight w:val="yellow"/>
                              </w:rPr>
                            </w:pPr>
                            <w:r w:rsidRPr="00A3789A">
                              <w:rPr>
                                <w:highlight w:val="yellow"/>
                              </w:rPr>
                              <w:t>- DL channel enhancements for NTN coverage (including the need</w:t>
                            </w:r>
                            <w:proofErr w:type="gramStart"/>
                            <w:r w:rsidRPr="00A3789A">
                              <w:rPr>
                                <w:highlight w:val="yellow"/>
                              </w:rPr>
                              <w:t>) ;</w:t>
                            </w:r>
                            <w:proofErr w:type="gramEnd"/>
                          </w:p>
                          <w:p w14:paraId="3652914C" w14:textId="77777777" w:rsidR="00A3789A" w:rsidRDefault="00A3789A" w:rsidP="00A3789A">
                            <w:r w:rsidRPr="00A3789A">
                              <w:rPr>
                                <w:highlight w:val="yellow"/>
                              </w:rPr>
                              <w:t>- Decision to specify High power UE (</w:t>
                            </w:r>
                            <w:proofErr w:type="gramStart"/>
                            <w:r w:rsidRPr="00A3789A">
                              <w:rPr>
                                <w:highlight w:val="yellow"/>
                              </w:rPr>
                              <w:t>e.g.</w:t>
                            </w:r>
                            <w:proofErr w:type="gramEnd"/>
                            <w:r w:rsidRPr="00A3789A">
                              <w:rPr>
                                <w:highlight w:val="yellow"/>
                              </w:rPr>
                              <w:t xml:space="preserve"> 26 dBm Tx power) for NTN FDD FR1 band(s), i.e. Rx/Tx requirements (This includes the study of relevant coexistence scenarios) [RAN4].</w:t>
                            </w:r>
                          </w:p>
                          <w:p w14:paraId="008C8E02" w14:textId="5DCC1EA5" w:rsidR="00A3789A" w:rsidRDefault="00A3789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02415B" id="_x0000_t202" coordsize="21600,21600" o:spt="202" path="m,l,21600r21600,l21600,xe">
                <v:stroke joinstyle="miter"/>
                <v:path gradientshapeok="t" o:connecttype="rect"/>
              </v:shapetype>
              <v:shape id="Text Box 7" o:spid="_x0000_s1026" type="#_x0000_t202" style="position:absolute;margin-left:-4.15pt;margin-top:34.6pt;width:484.5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">
                <v:textbox style="mso-fit-shape-to-text:t">
                  <w:txbxContent>
                    <w:p w14:paraId="7AC0840B" w14:textId="77777777" w:rsidR="00A3789A" w:rsidRDefault="00A3789A" w:rsidP="00A3789A">
                      <w:pPr>
                        <w:rPr>
                          <w:rFonts w:ascii="Arial" w:hAnsi="Arial" w:cs="Arial"/>
                          <w:b/>
                          <w:sz w:val="24"/>
                        </w:rPr>
                      </w:pPr>
                      <w:r>
                        <w:rPr>
                          <w:rFonts w:ascii="Arial" w:hAnsi="Arial" w:cs="Arial"/>
                          <w:b/>
                          <w:color w:val="0000FF"/>
                          <w:sz w:val="24"/>
                        </w:rPr>
                        <w:t>RP-222653</w:t>
                      </w:r>
                      <w:r>
                        <w:rPr>
                          <w:rFonts w:ascii="Arial" w:hAnsi="Arial" w:cs="Arial"/>
                          <w:b/>
                          <w:color w:val="0000FF"/>
                          <w:sz w:val="24"/>
                        </w:rPr>
                        <w:tab/>
                      </w:r>
                      <w:r>
                        <w:rPr>
                          <w:rFonts w:ascii="Arial" w:hAnsi="Arial" w:cs="Arial"/>
                          <w:b/>
                          <w:sz w:val="24"/>
                        </w:rPr>
                        <w:t>Moderator's summary for discussion [97e-22-R18-NR-NTN]</w:t>
                      </w:r>
                    </w:p>
                    <w:p w14:paraId="46968D9C" w14:textId="77777777" w:rsidR="00A3789A" w:rsidRDefault="00A3789A" w:rsidP="00A3789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w:t>
                      </w:r>
                    </w:p>
                    <w:p w14:paraId="18C37E01" w14:textId="77777777" w:rsidR="00A3789A" w:rsidRDefault="00A3789A" w:rsidP="00A3789A">
                      <w:pPr>
                        <w:rPr>
                          <w:color w:val="808080"/>
                        </w:rPr>
                      </w:pPr>
                      <w:r>
                        <w:rPr>
                          <w:color w:val="808080"/>
                        </w:rPr>
                        <w:t>(Replaces RP-222582)</w:t>
                      </w:r>
                    </w:p>
                    <w:p w14:paraId="1EC5A829" w14:textId="77777777" w:rsidR="00A3789A" w:rsidRDefault="00A3789A" w:rsidP="00A3789A">
                      <w:pPr>
                        <w:rPr>
                          <w:rFonts w:ascii="Arial" w:hAnsi="Arial" w:cs="Arial"/>
                          <w:b/>
                        </w:rPr>
                      </w:pPr>
                      <w:r>
                        <w:rPr>
                          <w:rFonts w:ascii="Arial" w:hAnsi="Arial" w:cs="Arial"/>
                          <w:b/>
                        </w:rPr>
                        <w:t xml:space="preserve">Abstract: </w:t>
                      </w:r>
                    </w:p>
                    <w:p w14:paraId="1FD0DE6D" w14:textId="77777777" w:rsidR="00A3789A" w:rsidRDefault="00A3789A" w:rsidP="00A3789A">
                      <w:r>
                        <w:t xml:space="preserve">handled </w:t>
                      </w:r>
                      <w:proofErr w:type="spellStart"/>
                      <w:r>
                        <w:t>Tdocs</w:t>
                      </w:r>
                      <w:proofErr w:type="spellEnd"/>
                      <w:r>
                        <w:t>: RP-222081, 2096, 2151, 2206, 2234, 2254, 2301, 2305, 2316, 2319, 2342, 2439, 2485</w:t>
                      </w:r>
                    </w:p>
                    <w:p w14:paraId="2AF1B18C" w14:textId="77777777" w:rsidR="00A3789A" w:rsidRDefault="00A3789A" w:rsidP="00A3789A">
                      <w:pPr>
                        <w:rPr>
                          <w:rFonts w:ascii="Arial" w:hAnsi="Arial" w:cs="Arial"/>
                          <w:b/>
                        </w:rPr>
                      </w:pPr>
                      <w:r>
                        <w:rPr>
                          <w:rFonts w:ascii="Arial" w:hAnsi="Arial" w:cs="Arial"/>
                          <w:b/>
                        </w:rPr>
                        <w:t xml:space="preserve">Discussion: </w:t>
                      </w:r>
                    </w:p>
                    <w:p w14:paraId="1535194F" w14:textId="77777777" w:rsidR="00A3789A" w:rsidRDefault="00A3789A" w:rsidP="00A3789A">
                      <w:r>
                        <w:t>Note: Proposal 4.1 has been captured in the revised WID RP-222654.</w:t>
                      </w:r>
                    </w:p>
                    <w:p w14:paraId="3118B02F" w14:textId="77777777" w:rsidR="00A3789A" w:rsidRDefault="00A3789A" w:rsidP="00A3789A">
                      <w:r>
                        <w:t>conclusion:</w:t>
                      </w:r>
                    </w:p>
                    <w:p w14:paraId="1B2BD5AA" w14:textId="77777777" w:rsidR="00A3789A" w:rsidRDefault="00A3789A" w:rsidP="00A3789A">
                      <w:r>
                        <w:t>- proposal 4.1 was endorsed</w:t>
                      </w:r>
                    </w:p>
                    <w:p w14:paraId="7BB0A562" w14:textId="77777777" w:rsidR="00A3789A" w:rsidRPr="00A3789A" w:rsidRDefault="00A3789A" w:rsidP="00A3789A">
                      <w:pPr>
                        <w:rPr>
                          <w:highlight w:val="yellow"/>
                        </w:rPr>
                      </w:pPr>
                      <w:r w:rsidRPr="00A3789A">
                        <w:rPr>
                          <w:highlight w:val="yellow"/>
                        </w:rPr>
                        <w:t>- proposal 4.2: To be discussed at RAN#99,</w:t>
                      </w:r>
                    </w:p>
                    <w:p w14:paraId="42C59D82" w14:textId="77777777" w:rsidR="00A3789A" w:rsidRPr="00A3789A" w:rsidRDefault="00A3789A" w:rsidP="00A3789A">
                      <w:pPr>
                        <w:rPr>
                          <w:highlight w:val="yellow"/>
                        </w:rPr>
                      </w:pPr>
                      <w:r w:rsidRPr="00A3789A">
                        <w:rPr>
                          <w:highlight w:val="yellow"/>
                        </w:rPr>
                        <w:t>- whether the Rel-18 PRACH enhancements (defined as part of Rel-18 NR coverage enhancements WI) are sufficient to address the coverage gaps with respect to NTN specifics (</w:t>
                      </w:r>
                      <w:proofErr w:type="gramStart"/>
                      <w:r w:rsidRPr="00A3789A">
                        <w:rPr>
                          <w:highlight w:val="yellow"/>
                        </w:rPr>
                        <w:t>i.e.</w:t>
                      </w:r>
                      <w:proofErr w:type="gramEnd"/>
                      <w:r w:rsidRPr="00A3789A">
                        <w:rPr>
                          <w:highlight w:val="yellow"/>
                        </w:rPr>
                        <w:t xml:space="preserve"> agreed at RAN1#109-e/RAN1#110, under </w:t>
                      </w:r>
                      <w:proofErr w:type="spellStart"/>
                      <w:r w:rsidRPr="00A3789A">
                        <w:rPr>
                          <w:highlight w:val="yellow"/>
                        </w:rPr>
                        <w:t>NR_NTN_enh</w:t>
                      </w:r>
                      <w:proofErr w:type="spellEnd"/>
                      <w:r w:rsidRPr="00A3789A">
                        <w:rPr>
                          <w:highlight w:val="yellow"/>
                        </w:rPr>
                        <w:t xml:space="preserve"> WI) and whether additional PRACH enhancements need to be specified;</w:t>
                      </w:r>
                    </w:p>
                    <w:p w14:paraId="32385646" w14:textId="77777777" w:rsidR="00A3789A" w:rsidRPr="00A3789A" w:rsidRDefault="00A3789A" w:rsidP="00A3789A">
                      <w:pPr>
                        <w:rPr>
                          <w:highlight w:val="yellow"/>
                        </w:rPr>
                      </w:pPr>
                      <w:r w:rsidRPr="00A3789A">
                        <w:rPr>
                          <w:highlight w:val="yellow"/>
                        </w:rPr>
                        <w:t>- DL channel enhancements for NTN coverage (including the need</w:t>
                      </w:r>
                      <w:proofErr w:type="gramStart"/>
                      <w:r w:rsidRPr="00A3789A">
                        <w:rPr>
                          <w:highlight w:val="yellow"/>
                        </w:rPr>
                        <w:t>) ;</w:t>
                      </w:r>
                      <w:proofErr w:type="gramEnd"/>
                    </w:p>
                    <w:p w14:paraId="3652914C" w14:textId="77777777" w:rsidR="00A3789A" w:rsidRDefault="00A3789A" w:rsidP="00A3789A">
                      <w:r w:rsidRPr="00A3789A">
                        <w:rPr>
                          <w:highlight w:val="yellow"/>
                        </w:rPr>
                        <w:t>- Decision to specify High power UE (</w:t>
                      </w:r>
                      <w:proofErr w:type="gramStart"/>
                      <w:r w:rsidRPr="00A3789A">
                        <w:rPr>
                          <w:highlight w:val="yellow"/>
                        </w:rPr>
                        <w:t>e.g.</w:t>
                      </w:r>
                      <w:proofErr w:type="gramEnd"/>
                      <w:r w:rsidRPr="00A3789A">
                        <w:rPr>
                          <w:highlight w:val="yellow"/>
                        </w:rPr>
                        <w:t xml:space="preserve"> 26 dBm Tx power) for NTN FDD FR1 band(s), i.e. Rx/Tx requirements (This includes the study of relevant coexistence scenarios) [RAN4].</w:t>
                      </w:r>
                    </w:p>
                    <w:p w14:paraId="008C8E02" w14:textId="5DCC1EA5" w:rsidR="00A3789A" w:rsidRDefault="00A3789A"/>
                  </w:txbxContent>
                </v:textbox>
                <w10:wrap type="square"/>
              </v:shape>
            </w:pict>
          </mc:Fallback>
        </mc:AlternateContent>
      </w:r>
    </w:p>
    <w:p w14:paraId="6C5A9BA8" w14:textId="73B121ED" w:rsidR="00A3789A" w:rsidRDefault="00A3789A" w:rsidP="00085CDB"/>
    <w:p w14:paraId="32120C43" w14:textId="4AADD533" w:rsidR="00A3789A" w:rsidRDefault="00A3789A" w:rsidP="00085CDB">
      <w:r>
        <w:t xml:space="preserve">In this contribution, we present our views on the topics of downlink coverage enhancements and </w:t>
      </w:r>
      <w:proofErr w:type="gramStart"/>
      <w:r>
        <w:t>high power</w:t>
      </w:r>
      <w:proofErr w:type="gramEnd"/>
      <w:r>
        <w:t xml:space="preserve"> UE.</w:t>
      </w:r>
    </w:p>
    <w:p w14:paraId="09D8DB2D" w14:textId="5F5CF210" w:rsidR="00A3789A" w:rsidRDefault="00A3789A" w:rsidP="00085CDB"/>
    <w:p w14:paraId="0BBF29CE" w14:textId="77777777" w:rsidR="00A3789A" w:rsidRDefault="00A3789A" w:rsidP="00085CDB"/>
    <w:p w14:paraId="31A62D99" w14:textId="0CECA3A9" w:rsidR="00DE7D34" w:rsidRPr="00E70722" w:rsidRDefault="00A3789A" w:rsidP="00DE7D34">
      <w:pPr>
        <w:pStyle w:val="Heading1"/>
        <w:numPr>
          <w:ilvl w:val="0"/>
          <w:numId w:val="1"/>
        </w:numPr>
        <w:tabs>
          <w:tab w:val="num" w:pos="720"/>
        </w:tabs>
        <w:ind w:left="720" w:hanging="720"/>
        <w:jc w:val="both"/>
      </w:pPr>
      <w:r>
        <w:lastRenderedPageBreak/>
        <w:t>Downlink coverage enhancements</w:t>
      </w:r>
    </w:p>
    <w:p w14:paraId="00FECEC6" w14:textId="5F6706ED" w:rsidR="008C221F" w:rsidRDefault="00A3789A" w:rsidP="008C221F">
      <w:r>
        <w:t>The topic of downlink coverage enhancement has been discussed in both the working groups (mainly RAN1) and RAN plenary. Although there seems to be some degree of justification and interest from the 3GPP community to specify some enhancements, the exact scope and extent of enhancements (</w:t>
      </w:r>
      <w:proofErr w:type="gramStart"/>
      <w:r>
        <w:t>e.g.</w:t>
      </w:r>
      <w:proofErr w:type="gramEnd"/>
      <w:r>
        <w:t xml:space="preserve"> how many decibels and which channels should be enhanced) is a bit unclear. In our view, this is the </w:t>
      </w:r>
      <w:proofErr w:type="gramStart"/>
      <w:r>
        <w:t>current status</w:t>
      </w:r>
      <w:proofErr w:type="gramEnd"/>
      <w:r>
        <w:t>:</w:t>
      </w:r>
    </w:p>
    <w:p w14:paraId="0E818BF1" w14:textId="2C9F3377" w:rsidR="00A3789A" w:rsidRDefault="00A3789A">
      <w:pPr>
        <w:pStyle w:val="ListParagraph"/>
        <w:numPr>
          <w:ilvl w:val="0"/>
          <w:numId w:val="3"/>
        </w:numPr>
      </w:pPr>
      <w:r>
        <w:t xml:space="preserve">There may be a variety of scenarios in which downlink coverage enhancements are justified. PFD limitations (by regulation), desire to transmit at lower EIRP (due to </w:t>
      </w:r>
      <w:proofErr w:type="gramStart"/>
      <w:r>
        <w:t>e.g.</w:t>
      </w:r>
      <w:proofErr w:type="gramEnd"/>
      <w:r>
        <w:t xml:space="preserve"> limited power across multiple beams), etc. Additionally, based on RAN1 assumptions, the UE-satellite link is always assumed to be line-of-sight, which may not be the case in several operational scenarios – mainly in the case of MT data, the UE may be in a pocket / inside the car, which may result in additional losses.</w:t>
      </w:r>
    </w:p>
    <w:p w14:paraId="51D13CE1" w14:textId="77777777" w:rsidR="00EF7BBE" w:rsidRDefault="00EF7BBE" w:rsidP="00EF7BBE">
      <w:pPr>
        <w:pStyle w:val="ListParagraph"/>
      </w:pPr>
    </w:p>
    <w:p w14:paraId="125A6604" w14:textId="75F665F3" w:rsidR="00EF7BBE" w:rsidRDefault="00EF7BBE">
      <w:pPr>
        <w:pStyle w:val="ListParagraph"/>
        <w:numPr>
          <w:ilvl w:val="0"/>
          <w:numId w:val="3"/>
        </w:numPr>
      </w:pPr>
      <w:r>
        <w:t xml:space="preserve">The assumptions on antenna gain during the work item may depend heavily on implementation. For instance, and depending on the implementation, an internal smartphone antenna may realize a -5dBi gain only for some angles, which may require the end user to point the terminal to the satellite (this may not be possible for </w:t>
      </w:r>
      <w:proofErr w:type="gramStart"/>
      <w:r>
        <w:t>e.g.</w:t>
      </w:r>
      <w:proofErr w:type="gramEnd"/>
      <w:r>
        <w:t xml:space="preserve"> MT calls). Other types of devices, such as wearables, are expected to have a much lower antenna gain.</w:t>
      </w:r>
    </w:p>
    <w:p w14:paraId="5EC04D17" w14:textId="77777777" w:rsidR="00EF7BBE" w:rsidRDefault="00EF7BBE" w:rsidP="00EF7BBE">
      <w:pPr>
        <w:pStyle w:val="ListParagraph"/>
      </w:pPr>
    </w:p>
    <w:p w14:paraId="089AC425" w14:textId="3238E5A3" w:rsidR="00A3789A" w:rsidRDefault="00A3789A">
      <w:pPr>
        <w:pStyle w:val="ListParagraph"/>
        <w:numPr>
          <w:ilvl w:val="0"/>
          <w:numId w:val="3"/>
        </w:numPr>
      </w:pPr>
      <w:r>
        <w:t xml:space="preserve">The amount of coverage enhancement may depend on the targeted scenario. In our view, one of the most important cases is to cover the case of MT data (UE not in </w:t>
      </w:r>
      <w:r w:rsidR="00EF7BBE">
        <w:t xml:space="preserve">direct </w:t>
      </w:r>
      <w:r>
        <w:t>LOS), which may require an enhancement in the order of 5-10dB. For other cases, such as PFD limitation, the needed enhancement may vary depending on the regulation.</w:t>
      </w:r>
    </w:p>
    <w:p w14:paraId="3E8424D4" w14:textId="77777777" w:rsidR="00EF7BBE" w:rsidRDefault="00EF7BBE" w:rsidP="00EF7BBE">
      <w:pPr>
        <w:pStyle w:val="ListParagraph"/>
      </w:pPr>
    </w:p>
    <w:p w14:paraId="4DD9E7C0" w14:textId="4786D959" w:rsidR="00A3789A" w:rsidRDefault="00A3789A">
      <w:pPr>
        <w:pStyle w:val="ListParagraph"/>
        <w:numPr>
          <w:ilvl w:val="0"/>
          <w:numId w:val="3"/>
        </w:numPr>
      </w:pPr>
      <w:r>
        <w:t xml:space="preserve">In line with the previous bullet, </w:t>
      </w:r>
      <w:r w:rsidR="00EF7BBE">
        <w:t>depending on the scope of enhancements, it may be possible to conduct the work in Rel-18. For instance, if only a small enhancement for PDCCH is desired (</w:t>
      </w:r>
      <w:proofErr w:type="gramStart"/>
      <w:r w:rsidR="00EF7BBE">
        <w:t>e.g.</w:t>
      </w:r>
      <w:proofErr w:type="gramEnd"/>
      <w:r w:rsidR="00EF7BBE">
        <w:t xml:space="preserve"> 3dB gain for PDCCH, all other channels untouched) it may be possible do to this work during Rel-18. For more aggressive targets, we would suggest </w:t>
      </w:r>
      <w:r w:rsidR="00383CFA">
        <w:t>deferring</w:t>
      </w:r>
      <w:r w:rsidR="00EF7BBE">
        <w:t xml:space="preserve"> the work to Rel-19.</w:t>
      </w:r>
    </w:p>
    <w:p w14:paraId="411FBC65" w14:textId="7E362AFF" w:rsidR="00EF7BBE" w:rsidRDefault="00EF7BBE" w:rsidP="00EF7BBE">
      <w:r>
        <w:t>Therefore, we make the following proposal:</w:t>
      </w:r>
    </w:p>
    <w:p w14:paraId="672B73B1" w14:textId="1F376187" w:rsidR="00EF7BBE" w:rsidRDefault="00EF7BBE" w:rsidP="00EF7BBE">
      <w:pPr>
        <w:rPr>
          <w:b/>
          <w:bCs/>
        </w:rPr>
      </w:pPr>
      <w:r w:rsidRPr="00EF7BBE">
        <w:rPr>
          <w:b/>
          <w:bCs/>
          <w:u w:val="single"/>
        </w:rPr>
        <w:t>Proposal</w:t>
      </w:r>
      <w:r>
        <w:rPr>
          <w:b/>
          <w:bCs/>
          <w:u w:val="single"/>
        </w:rPr>
        <w:t xml:space="preserve"> 1</w:t>
      </w:r>
      <w:r w:rsidRPr="00EF7BBE">
        <w:rPr>
          <w:b/>
          <w:bCs/>
          <w:u w:val="single"/>
        </w:rPr>
        <w:t>:</w:t>
      </w:r>
      <w:r>
        <w:rPr>
          <w:b/>
          <w:bCs/>
        </w:rPr>
        <w:t xml:space="preserve"> For DL coverage enhancements for NTN, RAN should decide the scenarios, channels, and amount of coverage enhancement (in decibels) needed.</w:t>
      </w:r>
    </w:p>
    <w:p w14:paraId="25C98140" w14:textId="4C529EC6" w:rsidR="00EF7BBE" w:rsidRPr="00EF7BBE" w:rsidRDefault="00EF7BBE">
      <w:pPr>
        <w:pStyle w:val="ListParagraph"/>
        <w:numPr>
          <w:ilvl w:val="0"/>
          <w:numId w:val="4"/>
        </w:numPr>
        <w:rPr>
          <w:b/>
          <w:bCs/>
        </w:rPr>
      </w:pPr>
      <w:r>
        <w:rPr>
          <w:b/>
          <w:bCs/>
        </w:rPr>
        <w:t>Depending on the scope, the work may be conducted during Rel-18 (if only small enhancements are needed). If more aggressive enhancements are intended, the work should be deferred to Rel-19.</w:t>
      </w:r>
    </w:p>
    <w:p w14:paraId="7F4C06C0" w14:textId="77777777" w:rsidR="00482BA8" w:rsidRPr="008C221F" w:rsidRDefault="00482BA8" w:rsidP="008C221F">
      <w:pPr>
        <w:rPr>
          <w:b/>
          <w:bCs/>
        </w:rPr>
      </w:pPr>
    </w:p>
    <w:p w14:paraId="34BF3887" w14:textId="386CA059" w:rsidR="00CD5147" w:rsidRDefault="00A3789A" w:rsidP="00CD5147">
      <w:pPr>
        <w:pStyle w:val="Heading1"/>
        <w:numPr>
          <w:ilvl w:val="0"/>
          <w:numId w:val="1"/>
        </w:numPr>
        <w:tabs>
          <w:tab w:val="num" w:pos="720"/>
        </w:tabs>
        <w:ind w:left="720" w:hanging="720"/>
        <w:jc w:val="both"/>
      </w:pPr>
      <w:r>
        <w:t>Higher power class</w:t>
      </w:r>
    </w:p>
    <w:p w14:paraId="67CD3C9A" w14:textId="767E4720" w:rsidR="00A3789A" w:rsidRDefault="00383CFA" w:rsidP="009D7CC9">
      <w:pPr>
        <w:jc w:val="both"/>
      </w:pPr>
      <w:r>
        <w:t>U</w:t>
      </w:r>
      <w:r w:rsidR="00363B81">
        <w:t xml:space="preserve">plink coverage </w:t>
      </w:r>
      <w:r w:rsidR="00940D92">
        <w:t xml:space="preserve">in NTN </w:t>
      </w:r>
      <w:r w:rsidR="00897BFA">
        <w:t xml:space="preserve">is </w:t>
      </w:r>
      <w:r w:rsidR="00F073FF">
        <w:t xml:space="preserve">the </w:t>
      </w:r>
      <w:r w:rsidR="009D7F42">
        <w:t>bottleneck</w:t>
      </w:r>
      <w:r w:rsidR="002D68D5">
        <w:t xml:space="preserve"> </w:t>
      </w:r>
      <w:r w:rsidR="00940D92">
        <w:t>due to</w:t>
      </w:r>
      <w:r w:rsidR="002D68D5">
        <w:t xml:space="preserve"> </w:t>
      </w:r>
      <w:r w:rsidR="004D510A">
        <w:t xml:space="preserve">larger </w:t>
      </w:r>
      <w:r w:rsidR="00DD46E1">
        <w:t>propagation</w:t>
      </w:r>
      <w:r w:rsidR="002457C7">
        <w:t xml:space="preserve"> </w:t>
      </w:r>
      <w:r w:rsidR="00940D92">
        <w:t xml:space="preserve">loss </w:t>
      </w:r>
      <w:r w:rsidR="009C49CB">
        <w:t xml:space="preserve">and limited transmit power of </w:t>
      </w:r>
      <w:r w:rsidR="009D7F42">
        <w:t xml:space="preserve">NTN </w:t>
      </w:r>
      <w:r w:rsidR="009C49CB">
        <w:t>UE</w:t>
      </w:r>
      <w:r w:rsidR="00E34484">
        <w:t>. In Rel-17, PC3</w:t>
      </w:r>
      <w:r w:rsidR="00BC49E4">
        <w:t>, i.e., 23dBm</w:t>
      </w:r>
      <w:r w:rsidR="00382E9B">
        <w:t xml:space="preserve"> maximum output power</w:t>
      </w:r>
      <w:r w:rsidR="00BC49E4">
        <w:t>, was specified for NTN bands</w:t>
      </w:r>
      <w:r w:rsidR="00C8605E">
        <w:t xml:space="preserve">. Increasing the </w:t>
      </w:r>
      <w:r w:rsidR="00504DC6">
        <w:t>maximum output power</w:t>
      </w:r>
      <w:r w:rsidR="00C8605E">
        <w:t xml:space="preserve"> </w:t>
      </w:r>
      <w:r w:rsidR="00504DC6">
        <w:t xml:space="preserve">of </w:t>
      </w:r>
      <w:r w:rsidR="00E735A6">
        <w:t xml:space="preserve">NTN UE is the most direct way to improve </w:t>
      </w:r>
      <w:r w:rsidR="002A11F1">
        <w:t>NTN uplink</w:t>
      </w:r>
      <w:r w:rsidR="00FC77E1">
        <w:t xml:space="preserve"> coverage</w:t>
      </w:r>
      <w:r w:rsidR="00E735A6">
        <w:t>.</w:t>
      </w:r>
      <w:r w:rsidR="00382E9B">
        <w:t xml:space="preserve"> </w:t>
      </w:r>
      <w:r w:rsidR="002A11F1">
        <w:t xml:space="preserve">For NR, </w:t>
      </w:r>
      <w:r w:rsidR="0065482C">
        <w:t>RAN4 has specified High power UE</w:t>
      </w:r>
      <w:r w:rsidR="009D7CC9">
        <w:t xml:space="preserve">, i.e., 26dBm maximum output power, </w:t>
      </w:r>
      <w:r w:rsidR="0041408D">
        <w:t>for FDD band</w:t>
      </w:r>
      <w:r w:rsidR="002A11F1">
        <w:t>s</w:t>
      </w:r>
      <w:r w:rsidR="0041408D">
        <w:t xml:space="preserve"> in Rel-17. </w:t>
      </w:r>
      <w:r w:rsidR="002A11F1">
        <w:t>Therefore, the</w:t>
      </w:r>
      <w:r w:rsidR="00636CC3">
        <w:t xml:space="preserve"> technical </w:t>
      </w:r>
      <w:r w:rsidR="008427C6">
        <w:t>studies</w:t>
      </w:r>
      <w:r w:rsidR="00636CC3">
        <w:t xml:space="preserve"> and </w:t>
      </w:r>
      <w:r w:rsidR="00E23D0C">
        <w:t xml:space="preserve">analysis </w:t>
      </w:r>
      <w:r w:rsidR="009D7CC9">
        <w:t>could</w:t>
      </w:r>
      <w:r w:rsidR="00E23D0C">
        <w:t xml:space="preserve"> be </w:t>
      </w:r>
      <w:r w:rsidR="00D037A7">
        <w:t xml:space="preserve">referred </w:t>
      </w:r>
      <w:r w:rsidR="003F4CAA">
        <w:t xml:space="preserve">for NTN High power UE </w:t>
      </w:r>
      <w:r w:rsidR="009D7CC9">
        <w:t xml:space="preserve">discussion. </w:t>
      </w:r>
      <w:r w:rsidR="002A11F1">
        <w:t>Hence</w:t>
      </w:r>
      <w:r w:rsidR="00382E9B">
        <w:t xml:space="preserve">, it is </w:t>
      </w:r>
      <w:r w:rsidR="002A11F1">
        <w:t>proposed</w:t>
      </w:r>
      <w:r w:rsidR="009D7CC9">
        <w:t xml:space="preserve"> to</w:t>
      </w:r>
      <w:r w:rsidR="001A5A69">
        <w:t xml:space="preserve"> </w:t>
      </w:r>
      <w:r w:rsidR="002A11F1">
        <w:t>specify</w:t>
      </w:r>
      <w:r w:rsidR="00776722">
        <w:t xml:space="preserve"> the requirements </w:t>
      </w:r>
      <w:r w:rsidR="00034386">
        <w:t xml:space="preserve">such as ACLR, MPR, A-MPR </w:t>
      </w:r>
      <w:r w:rsidR="00776722">
        <w:t>for</w:t>
      </w:r>
      <w:r w:rsidR="003C3B6D">
        <w:t xml:space="preserve"> </w:t>
      </w:r>
      <w:r w:rsidR="003C3B6D" w:rsidRPr="003C3B6D">
        <w:t>High power UE (e.g.</w:t>
      </w:r>
      <w:r w:rsidR="003C3B6D">
        <w:t>,</w:t>
      </w:r>
      <w:r w:rsidR="003C3B6D" w:rsidRPr="003C3B6D">
        <w:t xml:space="preserve"> 26 dBm</w:t>
      </w:r>
      <w:r w:rsidR="003C3B6D">
        <w:t xml:space="preserve"> maximum output power</w:t>
      </w:r>
      <w:r w:rsidR="003C3B6D" w:rsidRPr="003C3B6D">
        <w:t>) for NTN FDD FR1 band(s)</w:t>
      </w:r>
      <w:r w:rsidR="002A11F1">
        <w:t xml:space="preserve"> in Rel-18 for the uplink coverage enhancements</w:t>
      </w:r>
      <w:r w:rsidR="0065482C">
        <w:t xml:space="preserve">. </w:t>
      </w:r>
    </w:p>
    <w:p w14:paraId="588F8FF1" w14:textId="06A9B84F" w:rsidR="009D7CC9" w:rsidRDefault="0081100D" w:rsidP="00AF3C36">
      <w:pPr>
        <w:jc w:val="both"/>
      </w:pPr>
      <w:r>
        <w:t xml:space="preserve">Regarding the co-existence study, RAN4 has </w:t>
      </w:r>
      <w:r w:rsidR="00652979">
        <w:t xml:space="preserve">completed the co-existence study between </w:t>
      </w:r>
      <w:r w:rsidR="008300FA">
        <w:t xml:space="preserve">NTN and TN </w:t>
      </w:r>
      <w:r w:rsidR="00D71DBA">
        <w:t xml:space="preserve">in Rel-17 in which 23dBm was assumed </w:t>
      </w:r>
      <w:r w:rsidR="0076275F">
        <w:t>as the maximum output powe</w:t>
      </w:r>
      <w:r w:rsidR="00463C33">
        <w:t xml:space="preserve">r and the outcome </w:t>
      </w:r>
      <w:r w:rsidR="002A11F1">
        <w:t>is</w:t>
      </w:r>
      <w:r w:rsidR="00463C33">
        <w:t xml:space="preserve"> captured in </w:t>
      </w:r>
      <w:r w:rsidR="002327CC">
        <w:t>TR 38.863</w:t>
      </w:r>
      <w:r w:rsidR="00DD38AA">
        <w:t xml:space="preserve">. For the co-existence study with High power UE, </w:t>
      </w:r>
      <w:r w:rsidR="00BB286D">
        <w:t xml:space="preserve">expect maximum output power, all </w:t>
      </w:r>
      <w:r w:rsidR="00DD38AA">
        <w:t xml:space="preserve">the </w:t>
      </w:r>
      <w:r w:rsidR="00BB286D">
        <w:t xml:space="preserve">simulation assumptions including </w:t>
      </w:r>
      <w:r w:rsidR="00940502">
        <w:t xml:space="preserve">scenarios, </w:t>
      </w:r>
      <w:r w:rsidR="008C5AA4">
        <w:t>network layout and system parameters</w:t>
      </w:r>
      <w:r w:rsidR="00BB286D">
        <w:t xml:space="preserve"> could be reused.</w:t>
      </w:r>
      <w:r w:rsidR="00463C33">
        <w:t xml:space="preserve"> </w:t>
      </w:r>
      <w:r w:rsidR="00542012">
        <w:t xml:space="preserve">In addition, RAN4 can focus on the </w:t>
      </w:r>
      <w:r w:rsidR="00DB285C">
        <w:t>co-existence scenarios which are</w:t>
      </w:r>
      <w:r w:rsidR="00032F11">
        <w:t xml:space="preserve"> related </w:t>
      </w:r>
      <w:r w:rsidR="00C10E84">
        <w:t>to</w:t>
      </w:r>
      <w:r w:rsidR="00032F11">
        <w:t xml:space="preserve"> </w:t>
      </w:r>
      <w:r w:rsidR="0082023B">
        <w:t>NTN UE ACLR</w:t>
      </w:r>
      <w:r w:rsidR="00205C89">
        <w:t xml:space="preserve"> </w:t>
      </w:r>
      <w:r w:rsidR="00131262">
        <w:t>such as</w:t>
      </w:r>
      <w:r w:rsidR="00205C89">
        <w:t xml:space="preserve"> </w:t>
      </w:r>
      <w:r w:rsidR="005F743C">
        <w:t xml:space="preserve">NTN UL </w:t>
      </w:r>
      <w:r w:rsidR="00131262">
        <w:t>inter</w:t>
      </w:r>
      <w:r w:rsidR="00D7228D">
        <w:t xml:space="preserve">fering </w:t>
      </w:r>
      <w:r w:rsidR="00F374B9">
        <w:t>TN UL and NTN UL</w:t>
      </w:r>
      <w:r w:rsidR="00974774">
        <w:t xml:space="preserve"> interfering</w:t>
      </w:r>
      <w:r w:rsidR="00A50F08">
        <w:t xml:space="preserve"> TN DL</w:t>
      </w:r>
      <w:r w:rsidR="002A11F1">
        <w:t xml:space="preserve"> to save the workload</w:t>
      </w:r>
      <w:r w:rsidR="00A50F08">
        <w:t>.</w:t>
      </w:r>
    </w:p>
    <w:p w14:paraId="47E26A67" w14:textId="48E30CE5" w:rsidR="00D65544" w:rsidRDefault="00EF7BBE" w:rsidP="00D65544">
      <w:pPr>
        <w:rPr>
          <w:b/>
          <w:bCs/>
        </w:rPr>
      </w:pPr>
      <w:r w:rsidRPr="00B575BD">
        <w:rPr>
          <w:b/>
          <w:bCs/>
          <w:u w:val="single"/>
        </w:rPr>
        <w:t>Proposal</w:t>
      </w:r>
      <w:r w:rsidR="00A50F08" w:rsidRPr="00B575BD">
        <w:rPr>
          <w:b/>
          <w:bCs/>
          <w:u w:val="single"/>
        </w:rPr>
        <w:t xml:space="preserve"> 2</w:t>
      </w:r>
      <w:r w:rsidRPr="00B575BD">
        <w:rPr>
          <w:b/>
          <w:bCs/>
          <w:u w:val="single"/>
        </w:rPr>
        <w:t>:</w:t>
      </w:r>
      <w:r>
        <w:rPr>
          <w:b/>
          <w:bCs/>
        </w:rPr>
        <w:t xml:space="preserve"> </w:t>
      </w:r>
      <w:r w:rsidR="00A50F08">
        <w:rPr>
          <w:b/>
          <w:bCs/>
        </w:rPr>
        <w:t xml:space="preserve">For UL coverage enhancements for NTN, </w:t>
      </w:r>
      <w:r w:rsidR="007022FC">
        <w:rPr>
          <w:b/>
          <w:bCs/>
        </w:rPr>
        <w:t>to</w:t>
      </w:r>
      <w:r w:rsidR="00A50F08">
        <w:rPr>
          <w:b/>
          <w:bCs/>
        </w:rPr>
        <w:t xml:space="preserve"> </w:t>
      </w:r>
      <w:r w:rsidR="007022FC">
        <w:rPr>
          <w:b/>
          <w:bCs/>
        </w:rPr>
        <w:t>specify</w:t>
      </w:r>
      <w:r w:rsidR="00A50F08">
        <w:rPr>
          <w:b/>
          <w:bCs/>
        </w:rPr>
        <w:t xml:space="preserve"> the requirements </w:t>
      </w:r>
      <w:r w:rsidR="00034386">
        <w:rPr>
          <w:b/>
          <w:bCs/>
        </w:rPr>
        <w:t xml:space="preserve">such as ACLR, MPR, A-MPR, </w:t>
      </w:r>
      <w:r w:rsidR="00A50F08">
        <w:rPr>
          <w:b/>
          <w:bCs/>
        </w:rPr>
        <w:t xml:space="preserve">for </w:t>
      </w:r>
      <w:r w:rsidR="00A50F08" w:rsidRPr="00AF3C36">
        <w:rPr>
          <w:b/>
          <w:bCs/>
        </w:rPr>
        <w:t xml:space="preserve">High power UE (e.g., 26 dBm maximum output power) for NTN FDD FR1 band(s). </w:t>
      </w:r>
    </w:p>
    <w:p w14:paraId="5B6C5939" w14:textId="6E84D321" w:rsidR="004D139A" w:rsidRPr="004D139A" w:rsidRDefault="004D139A" w:rsidP="00AF3C36">
      <w:pPr>
        <w:pStyle w:val="ListParagraph"/>
        <w:numPr>
          <w:ilvl w:val="0"/>
          <w:numId w:val="4"/>
        </w:numPr>
        <w:rPr>
          <w:b/>
          <w:bCs/>
        </w:rPr>
      </w:pPr>
      <w:r w:rsidRPr="004D139A">
        <w:rPr>
          <w:b/>
          <w:bCs/>
        </w:rPr>
        <w:t>RAN4 to study the co-existence between NTN and TN with High power UE. The simulation assumptions from TR 38.863 should be used as the baseline. The co-existence study could focus on the co-existence scenarios which are related to NTN UE ACLR such as NTN UL interfering TN UL and NTN UL interfering TN DL.</w:t>
      </w:r>
    </w:p>
    <w:p w14:paraId="6C1F9779" w14:textId="7B0895A5" w:rsidR="00A3789A" w:rsidRDefault="00A3789A" w:rsidP="00A3789A">
      <w:pPr>
        <w:pStyle w:val="Heading1"/>
        <w:numPr>
          <w:ilvl w:val="0"/>
          <w:numId w:val="1"/>
        </w:numPr>
        <w:tabs>
          <w:tab w:val="num" w:pos="720"/>
        </w:tabs>
        <w:ind w:left="720" w:hanging="720"/>
        <w:jc w:val="both"/>
      </w:pPr>
      <w:r>
        <w:lastRenderedPageBreak/>
        <w:t>Conclusions</w:t>
      </w:r>
    </w:p>
    <w:p w14:paraId="72DB8F91" w14:textId="2816F0CC" w:rsidR="00A3789A" w:rsidRDefault="00EF7BBE" w:rsidP="00EF7BBE">
      <w:r>
        <w:t xml:space="preserve">In this contribution we presented our views on the issues DL coverage enhancements </w:t>
      </w:r>
      <w:r w:rsidR="00B575BD">
        <w:t xml:space="preserve">and higher power class </w:t>
      </w:r>
      <w:r>
        <w:t>for NTN. We made the following proposals:</w:t>
      </w:r>
    </w:p>
    <w:p w14:paraId="2D68434A" w14:textId="77777777" w:rsidR="00EF7BBE" w:rsidRDefault="00EF7BBE" w:rsidP="00EF7BBE"/>
    <w:p w14:paraId="1F1693D8" w14:textId="77777777" w:rsidR="00EF7BBE" w:rsidRDefault="00EF7BBE" w:rsidP="00EF7BBE">
      <w:pPr>
        <w:rPr>
          <w:b/>
          <w:bCs/>
        </w:rPr>
      </w:pPr>
      <w:r w:rsidRPr="00EF7BBE">
        <w:rPr>
          <w:b/>
          <w:bCs/>
          <w:u w:val="single"/>
        </w:rPr>
        <w:t>Proposal</w:t>
      </w:r>
      <w:r>
        <w:rPr>
          <w:b/>
          <w:bCs/>
          <w:u w:val="single"/>
        </w:rPr>
        <w:t xml:space="preserve"> 1</w:t>
      </w:r>
      <w:r w:rsidRPr="00EF7BBE">
        <w:rPr>
          <w:b/>
          <w:bCs/>
          <w:u w:val="single"/>
        </w:rPr>
        <w:t>:</w:t>
      </w:r>
      <w:r>
        <w:rPr>
          <w:b/>
          <w:bCs/>
        </w:rPr>
        <w:t xml:space="preserve"> For DL coverage enhancements for NTN, RAN should decide the scenarios, channels, and amount of coverage enhancement (in decibels) needed.</w:t>
      </w:r>
    </w:p>
    <w:p w14:paraId="4032842F" w14:textId="77777777" w:rsidR="00EF7BBE" w:rsidRDefault="00EF7BBE">
      <w:pPr>
        <w:pStyle w:val="ListParagraph"/>
        <w:numPr>
          <w:ilvl w:val="0"/>
          <w:numId w:val="4"/>
        </w:numPr>
        <w:rPr>
          <w:b/>
          <w:bCs/>
        </w:rPr>
      </w:pPr>
      <w:r>
        <w:rPr>
          <w:b/>
          <w:bCs/>
        </w:rPr>
        <w:t>Depending on the scope, the work may be conducted during Rel-18 (if only small enhancements are needed). If more aggressive enhancements are intended, the work should be deferred to Rel-19.</w:t>
      </w:r>
    </w:p>
    <w:p w14:paraId="34A4C7EB" w14:textId="77777777" w:rsidR="0017340F" w:rsidRDefault="0017340F" w:rsidP="0017340F">
      <w:pPr>
        <w:rPr>
          <w:b/>
          <w:bCs/>
        </w:rPr>
      </w:pPr>
    </w:p>
    <w:p w14:paraId="47841F83" w14:textId="25071315" w:rsidR="0017340F" w:rsidRDefault="0017340F" w:rsidP="0017340F">
      <w:pPr>
        <w:rPr>
          <w:b/>
          <w:bCs/>
        </w:rPr>
      </w:pPr>
      <w:r w:rsidRPr="00B575BD">
        <w:rPr>
          <w:b/>
          <w:bCs/>
          <w:u w:val="single"/>
        </w:rPr>
        <w:t>Proposal 2:</w:t>
      </w:r>
      <w:r>
        <w:rPr>
          <w:b/>
          <w:bCs/>
        </w:rPr>
        <w:t xml:space="preserve"> For UL coverage enhancements for NTN, to specify the requirements </w:t>
      </w:r>
      <w:r w:rsidR="0051272A">
        <w:rPr>
          <w:b/>
          <w:bCs/>
        </w:rPr>
        <w:t xml:space="preserve">such as ACLR, MPR, A-MPR, </w:t>
      </w:r>
      <w:r>
        <w:rPr>
          <w:b/>
          <w:bCs/>
        </w:rPr>
        <w:t xml:space="preserve">for </w:t>
      </w:r>
      <w:r w:rsidRPr="00B8548A">
        <w:rPr>
          <w:b/>
          <w:bCs/>
        </w:rPr>
        <w:t xml:space="preserve">High power UE (e.g., 26 dBm maximum output power) for NTN FDD FR1 band(s). </w:t>
      </w:r>
    </w:p>
    <w:p w14:paraId="6227B5C1" w14:textId="203BC92D" w:rsidR="0017340F" w:rsidRPr="00AF3C36" w:rsidRDefault="0017340F" w:rsidP="009403BC">
      <w:pPr>
        <w:pStyle w:val="ListParagraph"/>
        <w:numPr>
          <w:ilvl w:val="0"/>
          <w:numId w:val="4"/>
        </w:numPr>
        <w:rPr>
          <w:b/>
          <w:bCs/>
        </w:rPr>
      </w:pPr>
      <w:r w:rsidRPr="00B575BD">
        <w:rPr>
          <w:b/>
          <w:bCs/>
        </w:rPr>
        <w:t>RAN4 to study the co-existence between NTN and TN with High power UE. The simulation assumptions from TR 38.863 should be used as the baseline. The co-existence study could focus on the co-existence scenarios which are related to NTN UE ACLR such as NTN UL interfering TN UL and NTN UL interfering TN DL.</w:t>
      </w:r>
    </w:p>
    <w:sectPr w:rsidR="0017340F" w:rsidRPr="00AF3C36" w:rsidSect="00717CCC">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8CD89" w14:textId="77777777" w:rsidR="00A77D47" w:rsidRDefault="00A77D47">
      <w:pPr>
        <w:spacing w:after="0"/>
      </w:pPr>
      <w:r>
        <w:separator/>
      </w:r>
    </w:p>
  </w:endnote>
  <w:endnote w:type="continuationSeparator" w:id="0">
    <w:p w14:paraId="0C21B843" w14:textId="77777777" w:rsidR="00A77D47" w:rsidRDefault="00A77D47">
      <w:pPr>
        <w:spacing w:after="0"/>
      </w:pPr>
      <w:r>
        <w:continuationSeparator/>
      </w:r>
    </w:p>
  </w:endnote>
  <w:endnote w:type="continuationNotice" w:id="1">
    <w:p w14:paraId="08DC216D" w14:textId="77777777" w:rsidR="00A77D47" w:rsidRDefault="00A77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19F6A8DC"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4386">
      <w:rPr>
        <w:rStyle w:val="PageNumber"/>
      </w:rPr>
      <w:t>1</w: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4421" w14:textId="77777777" w:rsidR="00A77D47" w:rsidRDefault="00A77D47">
      <w:pPr>
        <w:spacing w:after="0"/>
      </w:pPr>
      <w:r>
        <w:separator/>
      </w:r>
    </w:p>
  </w:footnote>
  <w:footnote w:type="continuationSeparator" w:id="0">
    <w:p w14:paraId="5B2FB060" w14:textId="77777777" w:rsidR="00A77D47" w:rsidRDefault="00A77D47">
      <w:pPr>
        <w:spacing w:after="0"/>
      </w:pPr>
      <w:r>
        <w:continuationSeparator/>
      </w:r>
    </w:p>
  </w:footnote>
  <w:footnote w:type="continuationNotice" w:id="1">
    <w:p w14:paraId="1DCBE958" w14:textId="77777777" w:rsidR="00A77D47" w:rsidRDefault="00A77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252CB1"/>
    <w:multiLevelType w:val="hybridMultilevel"/>
    <w:tmpl w:val="2F681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25312"/>
    <w:multiLevelType w:val="hybridMultilevel"/>
    <w:tmpl w:val="28465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98631285">
    <w:abstractNumId w:val="0"/>
  </w:num>
  <w:num w:numId="2" w16cid:durableId="1928612146">
    <w:abstractNumId w:val="3"/>
  </w:num>
  <w:num w:numId="3" w16cid:durableId="1570649626">
    <w:abstractNumId w:val="2"/>
  </w:num>
  <w:num w:numId="4" w16cid:durableId="19859477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2F11"/>
    <w:rsid w:val="00034386"/>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4799E"/>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5EC"/>
    <w:rsid w:val="000C7D28"/>
    <w:rsid w:val="000D1C42"/>
    <w:rsid w:val="000D3095"/>
    <w:rsid w:val="000D334F"/>
    <w:rsid w:val="000D4151"/>
    <w:rsid w:val="000D5647"/>
    <w:rsid w:val="000D756E"/>
    <w:rsid w:val="000D78E3"/>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1262"/>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2FD"/>
    <w:rsid w:val="0015697F"/>
    <w:rsid w:val="0015790E"/>
    <w:rsid w:val="00160710"/>
    <w:rsid w:val="001617A5"/>
    <w:rsid w:val="001650C3"/>
    <w:rsid w:val="00165F33"/>
    <w:rsid w:val="00166438"/>
    <w:rsid w:val="00166645"/>
    <w:rsid w:val="00167E97"/>
    <w:rsid w:val="00170977"/>
    <w:rsid w:val="001711B6"/>
    <w:rsid w:val="00173143"/>
    <w:rsid w:val="00173346"/>
    <w:rsid w:val="0017340F"/>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A69"/>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2C70"/>
    <w:rsid w:val="001E3751"/>
    <w:rsid w:val="001E3BA7"/>
    <w:rsid w:val="001E796D"/>
    <w:rsid w:val="001E7EFE"/>
    <w:rsid w:val="001F0F79"/>
    <w:rsid w:val="001F57B7"/>
    <w:rsid w:val="001F5AE9"/>
    <w:rsid w:val="001F5D84"/>
    <w:rsid w:val="001F70E2"/>
    <w:rsid w:val="001F7EC8"/>
    <w:rsid w:val="00202B5E"/>
    <w:rsid w:val="0020566E"/>
    <w:rsid w:val="00205ABE"/>
    <w:rsid w:val="00205C89"/>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7CC"/>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7C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1F1"/>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68D5"/>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5AC1"/>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3B81"/>
    <w:rsid w:val="003646A0"/>
    <w:rsid w:val="0036496B"/>
    <w:rsid w:val="00370D4F"/>
    <w:rsid w:val="00374FC9"/>
    <w:rsid w:val="0037613E"/>
    <w:rsid w:val="00380B18"/>
    <w:rsid w:val="00382105"/>
    <w:rsid w:val="00382C3B"/>
    <w:rsid w:val="00382E9B"/>
    <w:rsid w:val="0038329C"/>
    <w:rsid w:val="0038341C"/>
    <w:rsid w:val="0038354F"/>
    <w:rsid w:val="00383CFA"/>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3B6D"/>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4CAA"/>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08D"/>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3C33"/>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0D4"/>
    <w:rsid w:val="004C4776"/>
    <w:rsid w:val="004C4902"/>
    <w:rsid w:val="004C58B1"/>
    <w:rsid w:val="004C5F77"/>
    <w:rsid w:val="004C7CDC"/>
    <w:rsid w:val="004C7EDB"/>
    <w:rsid w:val="004D139A"/>
    <w:rsid w:val="004D2913"/>
    <w:rsid w:val="004D3F76"/>
    <w:rsid w:val="004D442C"/>
    <w:rsid w:val="004D510A"/>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4DC6"/>
    <w:rsid w:val="00505979"/>
    <w:rsid w:val="00506171"/>
    <w:rsid w:val="00507E7B"/>
    <w:rsid w:val="0051062E"/>
    <w:rsid w:val="00511945"/>
    <w:rsid w:val="00512212"/>
    <w:rsid w:val="0051272A"/>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2012"/>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026"/>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5F743C"/>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CC3"/>
    <w:rsid w:val="00636D1E"/>
    <w:rsid w:val="00640363"/>
    <w:rsid w:val="00641CBA"/>
    <w:rsid w:val="0064384F"/>
    <w:rsid w:val="00644B01"/>
    <w:rsid w:val="00644C95"/>
    <w:rsid w:val="00645661"/>
    <w:rsid w:val="006479B6"/>
    <w:rsid w:val="00647D8A"/>
    <w:rsid w:val="00650C54"/>
    <w:rsid w:val="00651767"/>
    <w:rsid w:val="00651E33"/>
    <w:rsid w:val="00652979"/>
    <w:rsid w:val="006530FE"/>
    <w:rsid w:val="0065482C"/>
    <w:rsid w:val="00662A01"/>
    <w:rsid w:val="00662BF0"/>
    <w:rsid w:val="00663377"/>
    <w:rsid w:val="006634DF"/>
    <w:rsid w:val="006659BC"/>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D5E6A"/>
    <w:rsid w:val="006E0079"/>
    <w:rsid w:val="006E175E"/>
    <w:rsid w:val="006E192E"/>
    <w:rsid w:val="006E3309"/>
    <w:rsid w:val="006E3969"/>
    <w:rsid w:val="006E5495"/>
    <w:rsid w:val="006E5B7D"/>
    <w:rsid w:val="006E5E06"/>
    <w:rsid w:val="006E7E2E"/>
    <w:rsid w:val="006F0B78"/>
    <w:rsid w:val="006F24E7"/>
    <w:rsid w:val="006F407F"/>
    <w:rsid w:val="007022FC"/>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275F"/>
    <w:rsid w:val="00764301"/>
    <w:rsid w:val="00764B13"/>
    <w:rsid w:val="00764E5A"/>
    <w:rsid w:val="00766AE7"/>
    <w:rsid w:val="00767D7C"/>
    <w:rsid w:val="00770E8B"/>
    <w:rsid w:val="00771D33"/>
    <w:rsid w:val="00773052"/>
    <w:rsid w:val="0077522D"/>
    <w:rsid w:val="00776722"/>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100D"/>
    <w:rsid w:val="008141F2"/>
    <w:rsid w:val="00814286"/>
    <w:rsid w:val="00815596"/>
    <w:rsid w:val="0082023B"/>
    <w:rsid w:val="00820856"/>
    <w:rsid w:val="008208F6"/>
    <w:rsid w:val="00820A4A"/>
    <w:rsid w:val="008221BA"/>
    <w:rsid w:val="008228A4"/>
    <w:rsid w:val="008233E0"/>
    <w:rsid w:val="008260B0"/>
    <w:rsid w:val="00827270"/>
    <w:rsid w:val="008300FA"/>
    <w:rsid w:val="0083283A"/>
    <w:rsid w:val="00833C4B"/>
    <w:rsid w:val="0083500B"/>
    <w:rsid w:val="00835C35"/>
    <w:rsid w:val="0083762E"/>
    <w:rsid w:val="00837E5D"/>
    <w:rsid w:val="008404B2"/>
    <w:rsid w:val="008405AD"/>
    <w:rsid w:val="008427C6"/>
    <w:rsid w:val="00844936"/>
    <w:rsid w:val="008451D2"/>
    <w:rsid w:val="0084552F"/>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97BFA"/>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AA4"/>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0502"/>
    <w:rsid w:val="00940D92"/>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4774"/>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C49CB"/>
    <w:rsid w:val="009D1B4F"/>
    <w:rsid w:val="009D25C6"/>
    <w:rsid w:val="009D5294"/>
    <w:rsid w:val="009D5707"/>
    <w:rsid w:val="009D7471"/>
    <w:rsid w:val="009D7CC9"/>
    <w:rsid w:val="009D7F42"/>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2081"/>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3789A"/>
    <w:rsid w:val="00A40DBD"/>
    <w:rsid w:val="00A40E39"/>
    <w:rsid w:val="00A40E7C"/>
    <w:rsid w:val="00A42540"/>
    <w:rsid w:val="00A42E76"/>
    <w:rsid w:val="00A43260"/>
    <w:rsid w:val="00A450A0"/>
    <w:rsid w:val="00A45641"/>
    <w:rsid w:val="00A45914"/>
    <w:rsid w:val="00A462A3"/>
    <w:rsid w:val="00A46F58"/>
    <w:rsid w:val="00A5043D"/>
    <w:rsid w:val="00A50F08"/>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6806"/>
    <w:rsid w:val="00A77D47"/>
    <w:rsid w:val="00A82C1A"/>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3C36"/>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5B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286D"/>
    <w:rsid w:val="00BB3084"/>
    <w:rsid w:val="00BB3434"/>
    <w:rsid w:val="00BB3890"/>
    <w:rsid w:val="00BB3EA7"/>
    <w:rsid w:val="00BB47D9"/>
    <w:rsid w:val="00BB4DA5"/>
    <w:rsid w:val="00BC16F2"/>
    <w:rsid w:val="00BC1C19"/>
    <w:rsid w:val="00BC2C29"/>
    <w:rsid w:val="00BC3A60"/>
    <w:rsid w:val="00BC3C47"/>
    <w:rsid w:val="00BC49E4"/>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0E8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8605E"/>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11B6"/>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37A7"/>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5544"/>
    <w:rsid w:val="00D66DF3"/>
    <w:rsid w:val="00D6745F"/>
    <w:rsid w:val="00D67BDC"/>
    <w:rsid w:val="00D70180"/>
    <w:rsid w:val="00D71D7E"/>
    <w:rsid w:val="00D71DBA"/>
    <w:rsid w:val="00D7228D"/>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85C"/>
    <w:rsid w:val="00DB2A6C"/>
    <w:rsid w:val="00DB389E"/>
    <w:rsid w:val="00DB3A0B"/>
    <w:rsid w:val="00DB4E9E"/>
    <w:rsid w:val="00DB6049"/>
    <w:rsid w:val="00DB7678"/>
    <w:rsid w:val="00DB783F"/>
    <w:rsid w:val="00DC0050"/>
    <w:rsid w:val="00DC3B95"/>
    <w:rsid w:val="00DC538D"/>
    <w:rsid w:val="00DC5712"/>
    <w:rsid w:val="00DC6F4D"/>
    <w:rsid w:val="00DD017D"/>
    <w:rsid w:val="00DD38AA"/>
    <w:rsid w:val="00DD46E1"/>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3D0C"/>
    <w:rsid w:val="00E251FD"/>
    <w:rsid w:val="00E25E6B"/>
    <w:rsid w:val="00E26A75"/>
    <w:rsid w:val="00E27035"/>
    <w:rsid w:val="00E30655"/>
    <w:rsid w:val="00E31684"/>
    <w:rsid w:val="00E321D1"/>
    <w:rsid w:val="00E32EE2"/>
    <w:rsid w:val="00E32EE8"/>
    <w:rsid w:val="00E34484"/>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5A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233"/>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786E"/>
    <w:rsid w:val="00EF7BBE"/>
    <w:rsid w:val="00F0072B"/>
    <w:rsid w:val="00F00AF5"/>
    <w:rsid w:val="00F00BC4"/>
    <w:rsid w:val="00F0175D"/>
    <w:rsid w:val="00F037D8"/>
    <w:rsid w:val="00F0385A"/>
    <w:rsid w:val="00F03D87"/>
    <w:rsid w:val="00F059A3"/>
    <w:rsid w:val="00F06F0F"/>
    <w:rsid w:val="00F073FF"/>
    <w:rsid w:val="00F10E99"/>
    <w:rsid w:val="00F1193F"/>
    <w:rsid w:val="00F1324F"/>
    <w:rsid w:val="00F16C8B"/>
    <w:rsid w:val="00F175EB"/>
    <w:rsid w:val="00F17F3E"/>
    <w:rsid w:val="00F22702"/>
    <w:rsid w:val="00F2289D"/>
    <w:rsid w:val="00F30092"/>
    <w:rsid w:val="00F31DAF"/>
    <w:rsid w:val="00F321D7"/>
    <w:rsid w:val="00F332C2"/>
    <w:rsid w:val="00F33CD0"/>
    <w:rsid w:val="00F34287"/>
    <w:rsid w:val="00F34C96"/>
    <w:rsid w:val="00F34ECE"/>
    <w:rsid w:val="00F36DAE"/>
    <w:rsid w:val="00F374B9"/>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03D"/>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7E1"/>
    <w:rsid w:val="00FC7D37"/>
    <w:rsid w:val="00FD247D"/>
    <w:rsid w:val="00FD31CB"/>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4E9347D-BA71-42DC-A43E-4E5FFC4C9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F1B9C-72B3-4164-B89B-74DC1B2BC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openxmlformats.org/package/2006/metadata/core-propertie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941e23cb-dad9-498e-b38f-7f09bac0cd70"/>
    <ds:schemaRef ds:uri="http://schemas.microsoft.com/office/infopath/2007/PartnerControls"/>
    <ds:schemaRef ds:uri="59341b7b-2ed7-44dc-8679-71dde30480b1"/>
    <ds:schemaRef ds:uri="http://purl.org/dc/dcmitype/"/>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2020-02-10T22:14:00Z</cp:lastPrinted>
  <dcterms:created xsi:type="dcterms:W3CDTF">2023-03-13T15:50:00Z</dcterms:created>
  <dcterms:modified xsi:type="dcterms:W3CDTF">2023-03-13T15:50:00Z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ies>
</file>